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方正小标宋_GBK" w:cs="Times New Roman"/>
          <w:snapToGrid w:val="0"/>
          <w:color w:val="000000"/>
          <w:kern w:val="0"/>
          <w:sz w:val="44"/>
          <w:szCs w:val="44"/>
        </w:rPr>
      </w:pPr>
      <w:r>
        <w:rPr>
          <w:rFonts w:hint="eastAsia" w:ascii="Times New Roman" w:hAnsi="Times New Roman" w:eastAsia="方正小标宋_GBK" w:cs="Times New Roman"/>
          <w:snapToGrid w:val="0"/>
          <w:color w:val="000000"/>
          <w:kern w:val="0"/>
          <w:sz w:val="44"/>
          <w:szCs w:val="44"/>
        </w:rPr>
        <w:t>关于《上海港引航员管理规定》的修订说明</w:t>
      </w:r>
    </w:p>
    <w:p>
      <w:pPr>
        <w:numPr>
          <w:numId w:val="0"/>
        </w:numPr>
        <w:spacing w:line="600" w:lineRule="exact"/>
        <w:ind w:firstLine="640" w:firstLineChars="200"/>
        <w:contextualSpacing/>
        <w:rPr>
          <w:rFonts w:hint="eastAsia" w:ascii="黑体" w:hAnsi="黑体" w:eastAsia="黑体" w:cs="黑体"/>
          <w:sz w:val="32"/>
          <w:szCs w:val="32"/>
          <w:lang w:val="en-US" w:eastAsia="zh-CN"/>
        </w:rPr>
      </w:pPr>
    </w:p>
    <w:p>
      <w:pPr>
        <w:numPr>
          <w:numId w:val="0"/>
        </w:numPr>
        <w:spacing w:line="60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lang w:val="en-US" w:eastAsia="zh-CN"/>
        </w:rPr>
        <w:t>一、修订</w:t>
      </w:r>
      <w:r>
        <w:rPr>
          <w:rFonts w:hint="eastAsia" w:ascii="黑体" w:hAnsi="黑体" w:eastAsia="黑体" w:cs="黑体"/>
          <w:sz w:val="32"/>
          <w:szCs w:val="32"/>
        </w:rPr>
        <w:t>背景</w:t>
      </w:r>
    </w:p>
    <w:p>
      <w:pPr>
        <w:spacing w:line="600" w:lineRule="exact"/>
        <w:ind w:firstLine="640" w:firstLineChars="200"/>
        <w:contextualSpacing/>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《上海港引航员等级晋升管理规定》（以下简称《规定》）依据交通运输部令《中华人民共和国引航员管理办法》制定，规定了</w:t>
      </w:r>
      <w:r>
        <w:rPr>
          <w:rFonts w:hint="eastAsia" w:ascii="方正仿宋_GB2312" w:hAnsi="方正仿宋_GB2312" w:eastAsia="方正仿宋_GB2312" w:cs="方正仿宋_GB2312"/>
          <w:sz w:val="32"/>
          <w:szCs w:val="32"/>
          <w:lang w:val="en-US" w:eastAsia="zh-CN"/>
        </w:rPr>
        <w:t>上海港</w:t>
      </w:r>
      <w:r>
        <w:rPr>
          <w:rFonts w:hint="eastAsia" w:ascii="方正仿宋_GB2312" w:hAnsi="方正仿宋_GB2312" w:eastAsia="方正仿宋_GB2312" w:cs="方正仿宋_GB2312"/>
          <w:sz w:val="32"/>
          <w:szCs w:val="32"/>
        </w:rPr>
        <w:t>引航员等级晋升、引航范围变更和保持引航员适任证书有效所需的最低引领船舶艘次或者里程</w:t>
      </w:r>
      <w:r>
        <w:rPr>
          <w:rFonts w:hint="eastAsia" w:ascii="方正仿宋_GB2312" w:hAnsi="方正仿宋_GB2312" w:eastAsia="方正仿宋_GB2312" w:cs="方正仿宋_GB2312"/>
          <w:sz w:val="32"/>
          <w:szCs w:val="32"/>
          <w:lang w:val="en-US" w:eastAsia="zh-CN"/>
        </w:rPr>
        <w:t>及相关管理工作。</w:t>
      </w:r>
      <w:r>
        <w:rPr>
          <w:rFonts w:hint="eastAsia" w:ascii="仿宋" w:hAnsi="仿宋" w:eastAsia="仿宋" w:cs="仿宋"/>
          <w:sz w:val="32"/>
          <w:szCs w:val="32"/>
          <w:lang w:val="en-US" w:eastAsia="zh-CN"/>
        </w:rPr>
        <w:t>《规定》自2010年10月1日实施，2014年根据2013年修订的《中华人民共和国引航员管理办法》进行相应完善并重新颁布于2015年1月1日起实施。《规定》实施以来对规范上海港引航员培训、考试和发证等管理工作发挥了积极作用，保障了上海港引航员队伍的健康发展。2025年3月1日，新修订的《中华人民共和国引航员管理办法》（交通运输部部令2024年第13号）实施，我局《规定》需要根据新修订的《中华人民共和国引航员管理办法》做出相应修订，适应上海港引航员管理需要。</w:t>
      </w:r>
    </w:p>
    <w:p>
      <w:pPr>
        <w:spacing w:line="600" w:lineRule="exact"/>
        <w:ind w:firstLine="630"/>
        <w:contextualSpacing/>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w:t>
      </w:r>
      <w:r>
        <w:rPr>
          <w:rFonts w:hint="eastAsia" w:ascii="黑体" w:hAnsi="黑体" w:eastAsia="黑体" w:cs="黑体"/>
          <w:sz w:val="32"/>
          <w:szCs w:val="32"/>
          <w:lang w:val="en-US" w:eastAsia="zh-CN"/>
        </w:rPr>
        <w:t>修订</w:t>
      </w:r>
      <w:r>
        <w:rPr>
          <w:rFonts w:hint="eastAsia" w:ascii="黑体" w:hAnsi="黑体" w:eastAsia="黑体" w:cs="黑体"/>
          <w:sz w:val="32"/>
          <w:szCs w:val="32"/>
        </w:rPr>
        <w:t>内容</w:t>
      </w:r>
    </w:p>
    <w:p>
      <w:pPr>
        <w:tabs>
          <w:tab w:val="left" w:pos="3261"/>
        </w:tabs>
        <w:ind w:firstLine="642" w:firstLineChars="200"/>
        <w:jc w:val="left"/>
        <w:rPr>
          <w:rFonts w:hint="default" w:ascii="方正小标宋简体" w:hAnsi="方正小标宋简体" w:eastAsia="方正小标宋简体" w:cs="方正小标宋简体"/>
          <w:b w:val="0"/>
          <w:bCs/>
          <w:sz w:val="44"/>
          <w:szCs w:val="44"/>
          <w:lang w:val="en-US"/>
        </w:rPr>
      </w:pPr>
      <w:r>
        <w:rPr>
          <w:rFonts w:hint="eastAsia" w:ascii="仿宋" w:hAnsi="仿宋" w:eastAsia="仿宋" w:cs="仿宋"/>
          <w:b/>
          <w:bCs/>
          <w:sz w:val="32"/>
          <w:szCs w:val="32"/>
          <w:lang w:val="en-US" w:eastAsia="zh-CN"/>
        </w:rPr>
        <w:t>（一）名称改为《上海港引航员管理规定》。</w:t>
      </w:r>
      <w:r>
        <w:rPr>
          <w:rFonts w:hint="eastAsia" w:ascii="仿宋" w:hAnsi="仿宋" w:eastAsia="仿宋" w:cs="仿宋"/>
          <w:sz w:val="32"/>
          <w:szCs w:val="32"/>
          <w:lang w:val="en-US" w:eastAsia="zh-CN"/>
        </w:rPr>
        <w:t>《中华人民共和国引航员管理办法》规定直属海事局确定本辖区引航员等级晋升、引航范围变更和保持引航员适任证书有效所需的最低引领船舶艘次或者里程。不仅仅涉及引航员等级晋升，还包括引航范围变更和保持引航员适任证书有效等内容，故将规定名称《上海港引航员等级晋升管理规定》改为《上海港引航员管理规定》。</w:t>
      </w:r>
    </w:p>
    <w:p>
      <w:pPr>
        <w:spacing w:line="600" w:lineRule="exact"/>
        <w:ind w:firstLine="630"/>
        <w:contextualSpacing/>
        <w:rPr>
          <w:rFonts w:hint="eastAsia" w:ascii="方正仿宋_GB2312" w:hAnsi="方正仿宋_GB2312" w:eastAsia="方正仿宋_GB2312" w:cs="方正仿宋_GB2312"/>
          <w:sz w:val="32"/>
          <w:szCs w:val="32"/>
          <w:lang w:val="en-US" w:eastAsia="zh-CN"/>
        </w:rPr>
      </w:pPr>
      <w:r>
        <w:rPr>
          <w:rFonts w:hint="eastAsia" w:ascii="仿宋" w:hAnsi="仿宋" w:eastAsia="仿宋" w:cs="仿宋"/>
          <w:b/>
          <w:bCs/>
          <w:sz w:val="32"/>
          <w:szCs w:val="32"/>
          <w:lang w:val="en-US" w:eastAsia="zh-CN"/>
        </w:rPr>
        <w:t>（二）完善《规定》的适用范围描述。</w:t>
      </w:r>
      <w:r>
        <w:rPr>
          <w:rFonts w:hint="eastAsia" w:ascii="仿宋" w:hAnsi="仿宋" w:eastAsia="仿宋" w:cs="仿宋"/>
          <w:sz w:val="32"/>
          <w:szCs w:val="32"/>
          <w:lang w:val="en-US" w:eastAsia="zh-CN"/>
        </w:rPr>
        <w:t>将“</w:t>
      </w:r>
      <w:r>
        <w:rPr>
          <w:rFonts w:hint="eastAsia" w:ascii="仿宋" w:hAnsi="仿宋" w:eastAsia="仿宋" w:cs="仿宋"/>
          <w:sz w:val="32"/>
          <w:szCs w:val="32"/>
        </w:rPr>
        <w:t>本规定适用于上海港引航员等级晋升的管理活动</w:t>
      </w:r>
      <w:r>
        <w:rPr>
          <w:rFonts w:hint="eastAsia" w:ascii="仿宋" w:hAnsi="仿宋" w:eastAsia="仿宋" w:cs="仿宋"/>
          <w:sz w:val="32"/>
          <w:szCs w:val="32"/>
          <w:lang w:val="en-US" w:eastAsia="zh-CN"/>
        </w:rPr>
        <w:t>”改为“</w:t>
      </w:r>
      <w:r>
        <w:rPr>
          <w:rFonts w:hint="eastAsia" w:ascii="仿宋" w:hAnsi="仿宋" w:eastAsia="仿宋" w:cs="仿宋"/>
          <w:sz w:val="32"/>
          <w:szCs w:val="32"/>
        </w:rPr>
        <w:t>本规定适用于上海港引航员等级晋升</w:t>
      </w:r>
      <w:r>
        <w:rPr>
          <w:rFonts w:hint="eastAsia" w:ascii="仿宋" w:hAnsi="仿宋" w:eastAsia="仿宋" w:cs="仿宋"/>
          <w:sz w:val="32"/>
          <w:szCs w:val="32"/>
          <w:lang w:eastAsia="zh-CN"/>
        </w:rPr>
        <w:t>、</w:t>
      </w:r>
      <w:r>
        <w:rPr>
          <w:rFonts w:hint="eastAsia" w:ascii="仿宋" w:hAnsi="仿宋" w:eastAsia="仿宋" w:cs="仿宋"/>
          <w:sz w:val="32"/>
          <w:szCs w:val="32"/>
        </w:rPr>
        <w:t>引航范围变更和保持引航员适任证书有效的管理活动</w:t>
      </w:r>
      <w:r>
        <w:rPr>
          <w:rFonts w:hint="eastAsia" w:ascii="仿宋" w:hAnsi="仿宋" w:eastAsia="仿宋" w:cs="仿宋"/>
          <w:sz w:val="32"/>
          <w:szCs w:val="32"/>
          <w:lang w:val="en-US" w:eastAsia="zh-CN"/>
        </w:rPr>
        <w:t>”。《中华人民共和国引航员管理办法》规定直属海事局</w:t>
      </w:r>
      <w:r>
        <w:rPr>
          <w:rFonts w:hint="eastAsia" w:ascii="方正仿宋_GB2312" w:hAnsi="方正仿宋_GB2312" w:eastAsia="方正仿宋_GB2312" w:cs="方正仿宋_GB2312"/>
          <w:sz w:val="32"/>
          <w:szCs w:val="32"/>
        </w:rPr>
        <w:t>确定</w:t>
      </w:r>
      <w:r>
        <w:rPr>
          <w:rFonts w:hint="eastAsia" w:ascii="方正仿宋_GB2312" w:hAnsi="方正仿宋_GB2312" w:eastAsia="方正仿宋_GB2312" w:cs="方正仿宋_GB2312"/>
          <w:sz w:val="32"/>
          <w:szCs w:val="32"/>
          <w:lang w:val="en-US" w:eastAsia="zh-CN"/>
        </w:rPr>
        <w:t>本辖区</w:t>
      </w:r>
      <w:r>
        <w:rPr>
          <w:rFonts w:hint="eastAsia" w:ascii="方正仿宋_GB2312" w:hAnsi="方正仿宋_GB2312" w:eastAsia="方正仿宋_GB2312" w:cs="方正仿宋_GB2312"/>
          <w:sz w:val="32"/>
          <w:szCs w:val="32"/>
        </w:rPr>
        <w:t>引航员等级晋升、引航范围变更和保持引航员适任证书有效所需的最低引领船舶艘次或者里程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原《规定》按《中华人民共和国引航员管理办法》要求实际规定了上海港</w:t>
      </w:r>
      <w:r>
        <w:rPr>
          <w:rFonts w:hint="eastAsia" w:ascii="方正仿宋_GB2312" w:hAnsi="方正仿宋_GB2312" w:eastAsia="方正仿宋_GB2312" w:cs="方正仿宋_GB2312"/>
          <w:sz w:val="32"/>
          <w:szCs w:val="32"/>
        </w:rPr>
        <w:t>引航员等级晋升、引航范围变更和保持引航员适任证书有效所需的最低引领船舶艘次或者里程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但在第二条适用范围中未明确列入“</w:t>
      </w:r>
      <w:r>
        <w:rPr>
          <w:rFonts w:hint="eastAsia" w:ascii="仿宋" w:hAnsi="仿宋" w:eastAsia="仿宋" w:cs="仿宋"/>
          <w:sz w:val="32"/>
          <w:szCs w:val="32"/>
        </w:rPr>
        <w:t>引航范围变更和保持引航员适任证书有效</w:t>
      </w:r>
      <w:r>
        <w:rPr>
          <w:rFonts w:hint="eastAsia" w:ascii="方正仿宋_GB2312" w:hAnsi="方正仿宋_GB2312" w:eastAsia="方正仿宋_GB2312" w:cs="方正仿宋_GB2312"/>
          <w:sz w:val="32"/>
          <w:szCs w:val="32"/>
          <w:lang w:val="en-US" w:eastAsia="zh-CN"/>
        </w:rPr>
        <w:t>”，本次修订予以完善。</w:t>
      </w:r>
    </w:p>
    <w:p>
      <w:pPr>
        <w:spacing w:line="600" w:lineRule="exact"/>
        <w:ind w:firstLine="630"/>
        <w:contextualSpacing/>
        <w:rPr>
          <w:rFonts w:hint="default" w:ascii="方正仿宋_GB2312" w:hAnsi="方正仿宋_GB2312" w:eastAsia="方正仿宋_GB2312" w:cs="方正仿宋_GB2312"/>
          <w:sz w:val="32"/>
          <w:szCs w:val="32"/>
          <w:lang w:val="en-US" w:eastAsia="zh-CN"/>
        </w:rPr>
      </w:pPr>
      <w:r>
        <w:rPr>
          <w:rFonts w:hint="eastAsia" w:ascii="仿宋" w:hAnsi="仿宋" w:eastAsia="仿宋" w:cs="仿宋"/>
          <w:b/>
          <w:bCs/>
          <w:sz w:val="32"/>
          <w:szCs w:val="32"/>
          <w:lang w:val="en-US" w:eastAsia="zh-CN"/>
        </w:rPr>
        <w:t>（三）将三级引航员引领限制“载运散装一级危险货物船舶”改为“散装液化气船、散装危险化学品船”。</w:t>
      </w:r>
      <w:r>
        <w:rPr>
          <w:rFonts w:hint="eastAsia" w:ascii="方正仿宋_GB2312" w:hAnsi="方正仿宋_GB2312" w:eastAsia="方正仿宋_GB2312" w:cs="方正仿宋_GB2312"/>
          <w:sz w:val="32"/>
          <w:szCs w:val="32"/>
          <w:lang w:val="en-US" w:eastAsia="zh-CN"/>
        </w:rPr>
        <w:t>《中华人民共和国引航员管理办法》依据《船舶载运危险货物安全监督管理规定》将引航员引领限制“载运散装一级危险货物船舶”改为“散装液化气船、散装危险化学品船”，《规定》作出对应修订。</w:t>
      </w:r>
    </w:p>
    <w:p>
      <w:pPr>
        <w:spacing w:line="600" w:lineRule="exact"/>
        <w:ind w:firstLine="630"/>
        <w:contextualSpacing/>
        <w:rPr>
          <w:rFonts w:hint="eastAsia" w:ascii="方正仿宋_GB2312" w:hAnsi="方正仿宋_GB2312" w:eastAsia="方正仿宋_GB2312" w:cs="方正仿宋_GB2312"/>
          <w:sz w:val="32"/>
          <w:szCs w:val="32"/>
          <w:lang w:val="en-US" w:eastAsia="zh-CN"/>
        </w:rPr>
      </w:pPr>
      <w:r>
        <w:rPr>
          <w:rFonts w:hint="eastAsia" w:ascii="仿宋" w:hAnsi="仿宋" w:eastAsia="仿宋" w:cs="仿宋"/>
          <w:b/>
          <w:bCs/>
          <w:sz w:val="32"/>
          <w:szCs w:val="32"/>
          <w:lang w:val="en-US" w:eastAsia="zh-CN"/>
        </w:rPr>
        <w:t>（四）将引航员晋升要求的船长、大副“甲类”改为“无限航区”、二副“甲类一等”改为“无限航区500总吨及以上”。</w:t>
      </w:r>
      <w:r>
        <w:rPr>
          <w:rFonts w:hint="eastAsia" w:ascii="方正仿宋_GB2312" w:hAnsi="方正仿宋_GB2312" w:eastAsia="方正仿宋_GB2312" w:cs="方正仿宋_GB2312"/>
          <w:sz w:val="32"/>
          <w:szCs w:val="32"/>
          <w:lang w:val="en-US" w:eastAsia="zh-CN"/>
        </w:rPr>
        <w:t>《中华人民共和国引航员管理办法》依据目前海船船员航区和等级的设置，将引航员晋升要求的船长、大副“甲类”改为“无限航区”、二副“甲类一等”改为“无限航区500总吨及以上”，《规定》作出对应修订。</w:t>
      </w:r>
    </w:p>
    <w:p>
      <w:pPr>
        <w:spacing w:line="600" w:lineRule="exact"/>
        <w:ind w:firstLine="630"/>
        <w:contextualSpacing/>
        <w:rPr>
          <w:rFonts w:hint="eastAsia" w:ascii="方正仿宋_GB2312" w:hAnsi="方正仿宋_GB2312" w:eastAsia="方正仿宋_GB2312" w:cs="方正仿宋_GB2312"/>
          <w:sz w:val="32"/>
          <w:szCs w:val="32"/>
          <w:lang w:val="en-US" w:eastAsia="zh-CN"/>
        </w:rPr>
      </w:pPr>
      <w:r>
        <w:rPr>
          <w:rFonts w:hint="eastAsia" w:ascii="仿宋" w:hAnsi="仿宋" w:eastAsia="仿宋" w:cs="仿宋"/>
          <w:b/>
          <w:bCs/>
          <w:sz w:val="32"/>
          <w:szCs w:val="32"/>
          <w:lang w:val="en-US" w:eastAsia="zh-CN"/>
        </w:rPr>
        <w:t>（五）将引航机构应该向上海海事局备案的“引领船舶艘次和安全记录情况”改为“培训、适任证书、引航资历、安全记录以及健康状况等信息”。</w:t>
      </w:r>
      <w:r>
        <w:rPr>
          <w:rFonts w:hint="eastAsia" w:ascii="方正仿宋_GB2312" w:hAnsi="方正仿宋_GB2312" w:eastAsia="方正仿宋_GB2312" w:cs="方正仿宋_GB2312"/>
          <w:sz w:val="32"/>
          <w:szCs w:val="32"/>
          <w:lang w:val="en-US" w:eastAsia="zh-CN"/>
        </w:rPr>
        <w:t>《中华人民共和国引航员管理办法》将引航机构应该向直属海事局备案的“引领船舶艘次和安全记录情况”改为“培训、适任证书、引航资历、安全记录以及健康状况等信息”，《规定》作出对应修订。</w:t>
      </w:r>
    </w:p>
    <w:p>
      <w:pPr>
        <w:spacing w:line="600" w:lineRule="exact"/>
        <w:ind w:firstLine="630"/>
        <w:contextualSpacing/>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（六）将涉及引航员的安全记录通报主体从“上海海事局分支机构”改为“上海海事局相关业务处室及各分支海事局。</w:t>
      </w:r>
      <w:r>
        <w:rPr>
          <w:rFonts w:hint="eastAsia" w:ascii="方正仿宋_GB2312" w:hAnsi="方正仿宋_GB2312" w:eastAsia="方正仿宋_GB2312" w:cs="方正仿宋_GB2312"/>
          <w:sz w:val="32"/>
          <w:szCs w:val="32"/>
          <w:lang w:val="en-US" w:eastAsia="zh-CN"/>
        </w:rPr>
        <w:t>上海港引航员的安全记录或事故调查，非全部由分支局实施，需增加相关业务处室，并规定行政处罚系统或事故统计系统等信息系统能提供引航员安全记录的，可免除通报要求。</w:t>
      </w:r>
    </w:p>
    <w:p>
      <w:pPr>
        <w:spacing w:line="600" w:lineRule="exact"/>
        <w:ind w:firstLine="630"/>
        <w:contextualSpacing/>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NmZTU1Yjc5ZjVlNWZiMWI3ZTE4YjczNzMxYjQifQ=="/>
  </w:docVars>
  <w:rsids>
    <w:rsidRoot w:val="00000000"/>
    <w:rsid w:val="01A8257A"/>
    <w:rsid w:val="01B75D37"/>
    <w:rsid w:val="02B01A75"/>
    <w:rsid w:val="058F525E"/>
    <w:rsid w:val="0669026A"/>
    <w:rsid w:val="094E71DE"/>
    <w:rsid w:val="09FC24C9"/>
    <w:rsid w:val="0A540824"/>
    <w:rsid w:val="0A570314"/>
    <w:rsid w:val="0BFE313E"/>
    <w:rsid w:val="0E2FABCD"/>
    <w:rsid w:val="0E466BB4"/>
    <w:rsid w:val="0EB41B5C"/>
    <w:rsid w:val="0F5F5CA1"/>
    <w:rsid w:val="0F7F7EB6"/>
    <w:rsid w:val="11AC1E7D"/>
    <w:rsid w:val="126F4472"/>
    <w:rsid w:val="13765EA5"/>
    <w:rsid w:val="160C46A9"/>
    <w:rsid w:val="164F240A"/>
    <w:rsid w:val="17514A69"/>
    <w:rsid w:val="17985BCC"/>
    <w:rsid w:val="17E14637"/>
    <w:rsid w:val="18D453AE"/>
    <w:rsid w:val="19951935"/>
    <w:rsid w:val="1A7029BC"/>
    <w:rsid w:val="1B32111D"/>
    <w:rsid w:val="1CED215D"/>
    <w:rsid w:val="1CF94D1C"/>
    <w:rsid w:val="1D6131F2"/>
    <w:rsid w:val="1DA02388"/>
    <w:rsid w:val="1DAF521C"/>
    <w:rsid w:val="1DD37047"/>
    <w:rsid w:val="1FBF615C"/>
    <w:rsid w:val="20D335DF"/>
    <w:rsid w:val="23B377CC"/>
    <w:rsid w:val="23FD6C64"/>
    <w:rsid w:val="242C0022"/>
    <w:rsid w:val="258501AC"/>
    <w:rsid w:val="25E316C8"/>
    <w:rsid w:val="26FE22C7"/>
    <w:rsid w:val="27420F55"/>
    <w:rsid w:val="28755FCA"/>
    <w:rsid w:val="292D3DAA"/>
    <w:rsid w:val="2A613565"/>
    <w:rsid w:val="2AD90BA6"/>
    <w:rsid w:val="2B6F7BB6"/>
    <w:rsid w:val="2B912C63"/>
    <w:rsid w:val="2BCF9C59"/>
    <w:rsid w:val="2CE457EB"/>
    <w:rsid w:val="2CF72CAE"/>
    <w:rsid w:val="2D17E74E"/>
    <w:rsid w:val="2D18455E"/>
    <w:rsid w:val="2EBC3DB6"/>
    <w:rsid w:val="2F5F8946"/>
    <w:rsid w:val="2F7F740F"/>
    <w:rsid w:val="2FEBE2C6"/>
    <w:rsid w:val="32513718"/>
    <w:rsid w:val="333614A5"/>
    <w:rsid w:val="3344327C"/>
    <w:rsid w:val="334B1BBF"/>
    <w:rsid w:val="338A5133"/>
    <w:rsid w:val="354339D7"/>
    <w:rsid w:val="3577E5F5"/>
    <w:rsid w:val="36335339"/>
    <w:rsid w:val="36C662B3"/>
    <w:rsid w:val="36E7CC36"/>
    <w:rsid w:val="37AED902"/>
    <w:rsid w:val="37B64649"/>
    <w:rsid w:val="37EF88B2"/>
    <w:rsid w:val="37FF7AAA"/>
    <w:rsid w:val="397057EE"/>
    <w:rsid w:val="3ADFAA67"/>
    <w:rsid w:val="3B1C1EFC"/>
    <w:rsid w:val="3B7F5548"/>
    <w:rsid w:val="3B98710E"/>
    <w:rsid w:val="3BEF410C"/>
    <w:rsid w:val="3BFE3DEB"/>
    <w:rsid w:val="3D261CF2"/>
    <w:rsid w:val="3E25134B"/>
    <w:rsid w:val="3E5661DC"/>
    <w:rsid w:val="3ED35759"/>
    <w:rsid w:val="3EF66B90"/>
    <w:rsid w:val="3F1E4982"/>
    <w:rsid w:val="3FE447EB"/>
    <w:rsid w:val="3FF7E399"/>
    <w:rsid w:val="3FFF75B2"/>
    <w:rsid w:val="4114603C"/>
    <w:rsid w:val="42FD84A6"/>
    <w:rsid w:val="4460406F"/>
    <w:rsid w:val="4742644D"/>
    <w:rsid w:val="47796B56"/>
    <w:rsid w:val="477B3EA2"/>
    <w:rsid w:val="47FB4932"/>
    <w:rsid w:val="491744FA"/>
    <w:rsid w:val="491E788F"/>
    <w:rsid w:val="49732973"/>
    <w:rsid w:val="49DFC31B"/>
    <w:rsid w:val="4AFF087A"/>
    <w:rsid w:val="4B364920"/>
    <w:rsid w:val="4B72244E"/>
    <w:rsid w:val="4BCE7286"/>
    <w:rsid w:val="4C231853"/>
    <w:rsid w:val="4C887378"/>
    <w:rsid w:val="4D467EC5"/>
    <w:rsid w:val="4D5B1A8D"/>
    <w:rsid w:val="4D5FBEA0"/>
    <w:rsid w:val="4E2BDBF3"/>
    <w:rsid w:val="4FABF0F3"/>
    <w:rsid w:val="4FD53D3B"/>
    <w:rsid w:val="4FEBFF9D"/>
    <w:rsid w:val="4FF6767B"/>
    <w:rsid w:val="4FF7E80D"/>
    <w:rsid w:val="52AB3C82"/>
    <w:rsid w:val="53B73FC2"/>
    <w:rsid w:val="549311F7"/>
    <w:rsid w:val="54CD6DE5"/>
    <w:rsid w:val="55D04519"/>
    <w:rsid w:val="56EBAC44"/>
    <w:rsid w:val="57AE292F"/>
    <w:rsid w:val="583A0626"/>
    <w:rsid w:val="59FB1507"/>
    <w:rsid w:val="5A01773D"/>
    <w:rsid w:val="5A956A03"/>
    <w:rsid w:val="5B8138DB"/>
    <w:rsid w:val="5BE1552F"/>
    <w:rsid w:val="5C02545F"/>
    <w:rsid w:val="5C7A36E7"/>
    <w:rsid w:val="5E1B4906"/>
    <w:rsid w:val="5EF86B6F"/>
    <w:rsid w:val="5F296CFF"/>
    <w:rsid w:val="5FA73069"/>
    <w:rsid w:val="5FE68A76"/>
    <w:rsid w:val="5FF5AEB0"/>
    <w:rsid w:val="5FFFF27C"/>
    <w:rsid w:val="606D007D"/>
    <w:rsid w:val="60D342BC"/>
    <w:rsid w:val="610905B8"/>
    <w:rsid w:val="611F660B"/>
    <w:rsid w:val="616650AD"/>
    <w:rsid w:val="617F354E"/>
    <w:rsid w:val="628B273E"/>
    <w:rsid w:val="62AC3ECF"/>
    <w:rsid w:val="63D354EB"/>
    <w:rsid w:val="63E5B832"/>
    <w:rsid w:val="643D3707"/>
    <w:rsid w:val="644017A3"/>
    <w:rsid w:val="64B972C8"/>
    <w:rsid w:val="656595F6"/>
    <w:rsid w:val="658827D7"/>
    <w:rsid w:val="65B379A2"/>
    <w:rsid w:val="65B77B40"/>
    <w:rsid w:val="65CB81E9"/>
    <w:rsid w:val="65EF1DCA"/>
    <w:rsid w:val="65EF71B0"/>
    <w:rsid w:val="666909E2"/>
    <w:rsid w:val="67F76730"/>
    <w:rsid w:val="686846B9"/>
    <w:rsid w:val="69AD7A78"/>
    <w:rsid w:val="6AB7343A"/>
    <w:rsid w:val="6ABE2993"/>
    <w:rsid w:val="6AF92E08"/>
    <w:rsid w:val="6B140F0B"/>
    <w:rsid w:val="6B85F809"/>
    <w:rsid w:val="6BFEBBEB"/>
    <w:rsid w:val="6BFF480B"/>
    <w:rsid w:val="6C574D4E"/>
    <w:rsid w:val="6CD06275"/>
    <w:rsid w:val="6DDDDCC3"/>
    <w:rsid w:val="6E2703C4"/>
    <w:rsid w:val="6E65236C"/>
    <w:rsid w:val="6EEF61E4"/>
    <w:rsid w:val="6EF1EE58"/>
    <w:rsid w:val="6EFD497D"/>
    <w:rsid w:val="6F7411C0"/>
    <w:rsid w:val="6F7D1381"/>
    <w:rsid w:val="6FDE243F"/>
    <w:rsid w:val="6FFB4E89"/>
    <w:rsid w:val="73EFDFCA"/>
    <w:rsid w:val="74EE65C9"/>
    <w:rsid w:val="75A91298"/>
    <w:rsid w:val="767FB119"/>
    <w:rsid w:val="76E41637"/>
    <w:rsid w:val="76E6AA94"/>
    <w:rsid w:val="775FCFE8"/>
    <w:rsid w:val="779787F5"/>
    <w:rsid w:val="77E45523"/>
    <w:rsid w:val="789254BD"/>
    <w:rsid w:val="79ABE89B"/>
    <w:rsid w:val="79B70122"/>
    <w:rsid w:val="79D149D7"/>
    <w:rsid w:val="79ED6E4F"/>
    <w:rsid w:val="7A3D73C1"/>
    <w:rsid w:val="7A5258A5"/>
    <w:rsid w:val="7AAA0220"/>
    <w:rsid w:val="7ABDF796"/>
    <w:rsid w:val="7BDE9A69"/>
    <w:rsid w:val="7BF3A833"/>
    <w:rsid w:val="7BF60D22"/>
    <w:rsid w:val="7BF691C9"/>
    <w:rsid w:val="7BFEE3D3"/>
    <w:rsid w:val="7BFF1301"/>
    <w:rsid w:val="7C6B4050"/>
    <w:rsid w:val="7C780AAD"/>
    <w:rsid w:val="7CBD674D"/>
    <w:rsid w:val="7CCE11F0"/>
    <w:rsid w:val="7CD90A50"/>
    <w:rsid w:val="7CF614A4"/>
    <w:rsid w:val="7CFF4FF5"/>
    <w:rsid w:val="7CFF5CB6"/>
    <w:rsid w:val="7D3E9015"/>
    <w:rsid w:val="7D7EAE18"/>
    <w:rsid w:val="7D9F4859"/>
    <w:rsid w:val="7DBB0B63"/>
    <w:rsid w:val="7DC9E1DB"/>
    <w:rsid w:val="7DFFFA54"/>
    <w:rsid w:val="7E083CDF"/>
    <w:rsid w:val="7E3544C7"/>
    <w:rsid w:val="7E4726EA"/>
    <w:rsid w:val="7E7B0308"/>
    <w:rsid w:val="7ED7B016"/>
    <w:rsid w:val="7EFBC858"/>
    <w:rsid w:val="7EFBCB73"/>
    <w:rsid w:val="7F0D31D2"/>
    <w:rsid w:val="7F5F38B8"/>
    <w:rsid w:val="7F6F4B82"/>
    <w:rsid w:val="7F7B3DE2"/>
    <w:rsid w:val="7FA7982D"/>
    <w:rsid w:val="7FB8222E"/>
    <w:rsid w:val="7FBD99A2"/>
    <w:rsid w:val="7FBF0615"/>
    <w:rsid w:val="7FBF392F"/>
    <w:rsid w:val="7FF3EF5A"/>
    <w:rsid w:val="7FF62C6F"/>
    <w:rsid w:val="7FF73A80"/>
    <w:rsid w:val="7FF78533"/>
    <w:rsid w:val="7FF79B8C"/>
    <w:rsid w:val="7FF9F9C6"/>
    <w:rsid w:val="7FFF0EBB"/>
    <w:rsid w:val="7FFFF5AA"/>
    <w:rsid w:val="89E35430"/>
    <w:rsid w:val="927B06E0"/>
    <w:rsid w:val="955638BB"/>
    <w:rsid w:val="9BF8A236"/>
    <w:rsid w:val="9E58F2E1"/>
    <w:rsid w:val="9FCF5BC9"/>
    <w:rsid w:val="A1DF2D5B"/>
    <w:rsid w:val="A5F38902"/>
    <w:rsid w:val="A7E690D4"/>
    <w:rsid w:val="ABFD63A8"/>
    <w:rsid w:val="AD3AA2E3"/>
    <w:rsid w:val="AFBFA268"/>
    <w:rsid w:val="AFFAB6E3"/>
    <w:rsid w:val="AFFD469B"/>
    <w:rsid w:val="AFFD6BAC"/>
    <w:rsid w:val="B07F79AE"/>
    <w:rsid w:val="B3FE05E6"/>
    <w:rsid w:val="B6FFCBA5"/>
    <w:rsid w:val="B7DF17DF"/>
    <w:rsid w:val="B9BD29E6"/>
    <w:rsid w:val="BB7D99D0"/>
    <w:rsid w:val="BBDFFEA6"/>
    <w:rsid w:val="BBFB016D"/>
    <w:rsid w:val="BCEE10C5"/>
    <w:rsid w:val="BD7166BE"/>
    <w:rsid w:val="BDF7365E"/>
    <w:rsid w:val="BDFBD357"/>
    <w:rsid w:val="BE777AEF"/>
    <w:rsid w:val="BF2F8C75"/>
    <w:rsid w:val="BFBEDF0C"/>
    <w:rsid w:val="BFBFDEB6"/>
    <w:rsid w:val="BFFF684C"/>
    <w:rsid w:val="BFFFD775"/>
    <w:rsid w:val="C7FD9F4B"/>
    <w:rsid w:val="C9F7507B"/>
    <w:rsid w:val="CDDAB17C"/>
    <w:rsid w:val="CEEE6A10"/>
    <w:rsid w:val="CEF62144"/>
    <w:rsid w:val="CEFCA8B4"/>
    <w:rsid w:val="CEFCEAF5"/>
    <w:rsid w:val="D39FB54D"/>
    <w:rsid w:val="D3A4A5F9"/>
    <w:rsid w:val="D5361142"/>
    <w:rsid w:val="D5995104"/>
    <w:rsid w:val="D5DDA996"/>
    <w:rsid w:val="D5DEF863"/>
    <w:rsid w:val="D77D6CCD"/>
    <w:rsid w:val="D77E3B64"/>
    <w:rsid w:val="D77F98FE"/>
    <w:rsid w:val="D7B52DBB"/>
    <w:rsid w:val="D7FF777B"/>
    <w:rsid w:val="D9B3946B"/>
    <w:rsid w:val="D9ED1020"/>
    <w:rsid w:val="DAFF7DE4"/>
    <w:rsid w:val="DB0B9688"/>
    <w:rsid w:val="DBDD0D40"/>
    <w:rsid w:val="DBFA14FA"/>
    <w:rsid w:val="DBFF65B2"/>
    <w:rsid w:val="DDEC1AB1"/>
    <w:rsid w:val="DDFFD974"/>
    <w:rsid w:val="DEFD55BB"/>
    <w:rsid w:val="DF7D70A5"/>
    <w:rsid w:val="DF7DE165"/>
    <w:rsid w:val="DFF7FDDE"/>
    <w:rsid w:val="E2FFD49A"/>
    <w:rsid w:val="E677CA35"/>
    <w:rsid w:val="E6CFE1A1"/>
    <w:rsid w:val="E75F9549"/>
    <w:rsid w:val="E77FD6BF"/>
    <w:rsid w:val="E7977CC0"/>
    <w:rsid w:val="E7BFF5B9"/>
    <w:rsid w:val="E7DE266A"/>
    <w:rsid w:val="E7DE9CA8"/>
    <w:rsid w:val="E7DF67E2"/>
    <w:rsid w:val="E7F6CB37"/>
    <w:rsid w:val="E7F9DFFB"/>
    <w:rsid w:val="E9BFE5E4"/>
    <w:rsid w:val="ED7E3904"/>
    <w:rsid w:val="EDFF061D"/>
    <w:rsid w:val="EEEBB210"/>
    <w:rsid w:val="EF99FF60"/>
    <w:rsid w:val="EFBEA3DA"/>
    <w:rsid w:val="EFDD5251"/>
    <w:rsid w:val="EFE56DE5"/>
    <w:rsid w:val="EFEDB071"/>
    <w:rsid w:val="EFFD3275"/>
    <w:rsid w:val="EFFF37DF"/>
    <w:rsid w:val="EFFFBC2B"/>
    <w:rsid w:val="F0EBA6D5"/>
    <w:rsid w:val="F1D2A76E"/>
    <w:rsid w:val="F3BB3FC1"/>
    <w:rsid w:val="F3BFA134"/>
    <w:rsid w:val="F3DFDC94"/>
    <w:rsid w:val="F4C7DAC3"/>
    <w:rsid w:val="F4CE1121"/>
    <w:rsid w:val="F5F1057A"/>
    <w:rsid w:val="F65408D3"/>
    <w:rsid w:val="F67717EF"/>
    <w:rsid w:val="F6FFDD38"/>
    <w:rsid w:val="F77FCE2D"/>
    <w:rsid w:val="F7B9802A"/>
    <w:rsid w:val="F7EB2E9F"/>
    <w:rsid w:val="F8DDC9FF"/>
    <w:rsid w:val="F939C3FD"/>
    <w:rsid w:val="F9BA06B5"/>
    <w:rsid w:val="F9DBDF3F"/>
    <w:rsid w:val="FA7B2B38"/>
    <w:rsid w:val="FB3B66F8"/>
    <w:rsid w:val="FBBEC35C"/>
    <w:rsid w:val="FBD9C0C4"/>
    <w:rsid w:val="FBDD2E79"/>
    <w:rsid w:val="FBDF0B59"/>
    <w:rsid w:val="FCFBEA12"/>
    <w:rsid w:val="FD8D1411"/>
    <w:rsid w:val="FDC7D48E"/>
    <w:rsid w:val="FDE56CA2"/>
    <w:rsid w:val="FDF32C9E"/>
    <w:rsid w:val="FDF5FD94"/>
    <w:rsid w:val="FDF6C111"/>
    <w:rsid w:val="FDF7B97F"/>
    <w:rsid w:val="FDFB83BE"/>
    <w:rsid w:val="FDFFFF2B"/>
    <w:rsid w:val="FE319E2F"/>
    <w:rsid w:val="FEA7626F"/>
    <w:rsid w:val="FEC6426D"/>
    <w:rsid w:val="FED3E0A0"/>
    <w:rsid w:val="FED6F0A7"/>
    <w:rsid w:val="FEEF122F"/>
    <w:rsid w:val="FEFB9A4F"/>
    <w:rsid w:val="FEFFAE44"/>
    <w:rsid w:val="FF2DB0FB"/>
    <w:rsid w:val="FF2F1379"/>
    <w:rsid w:val="FF6D458C"/>
    <w:rsid w:val="FF6E1D5D"/>
    <w:rsid w:val="FF7D7F18"/>
    <w:rsid w:val="FF7F3455"/>
    <w:rsid w:val="FFB59434"/>
    <w:rsid w:val="FFBFECD4"/>
    <w:rsid w:val="FFCF9B0E"/>
    <w:rsid w:val="FFDACF85"/>
    <w:rsid w:val="FFDE27C3"/>
    <w:rsid w:val="FFDF012B"/>
    <w:rsid w:val="FFE7D6FD"/>
    <w:rsid w:val="FFFB5287"/>
    <w:rsid w:val="FFFD5105"/>
    <w:rsid w:val="FFFF57B6"/>
    <w:rsid w:val="FFFFCFC5"/>
    <w:rsid w:val="FFFFF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61"/>
    <w:basedOn w:val="4"/>
    <w:qFormat/>
    <w:uiPriority w:val="0"/>
    <w:rPr>
      <w:rFonts w:hint="eastAsia" w:ascii="宋体" w:hAnsi="宋体" w:eastAsia="宋体" w:cs="宋体"/>
      <w:color w:val="FF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81"/>
    <w:basedOn w:val="4"/>
    <w:qFormat/>
    <w:uiPriority w:val="0"/>
    <w:rPr>
      <w:rFonts w:hint="default" w:ascii="仿宋_GB2312" w:eastAsia="仿宋_GB2312" w:cs="仿宋_GB2312"/>
      <w:color w:val="FF0000"/>
      <w:sz w:val="24"/>
      <w:szCs w:val="24"/>
      <w:u w:val="none"/>
    </w:rPr>
  </w:style>
  <w:style w:type="character" w:customStyle="1" w:styleId="8">
    <w:name w:val="font71"/>
    <w:basedOn w:val="4"/>
    <w:qFormat/>
    <w:uiPriority w:val="0"/>
    <w:rPr>
      <w:rFonts w:hint="default" w:ascii="仿宋_GB2312" w:eastAsia="仿宋_GB2312" w:cs="仿宋_GB2312"/>
      <w:color w:val="000000"/>
      <w:sz w:val="24"/>
      <w:szCs w:val="24"/>
      <w:u w:val="none"/>
    </w:rPr>
  </w:style>
  <w:style w:type="character" w:customStyle="1" w:styleId="9">
    <w:name w:val="font51"/>
    <w:basedOn w:val="4"/>
    <w:qFormat/>
    <w:uiPriority w:val="0"/>
    <w:rPr>
      <w:rFonts w:hint="default" w:ascii="仿宋_GB2312" w:eastAsia="仿宋_GB2312" w:cs="仿宋_GB2312"/>
      <w:color w:val="FF0000"/>
      <w:sz w:val="24"/>
      <w:szCs w:val="24"/>
      <w:u w:val="none"/>
    </w:rPr>
  </w:style>
  <w:style w:type="character" w:customStyle="1" w:styleId="10">
    <w:name w:val="font41"/>
    <w:basedOn w:val="4"/>
    <w:qFormat/>
    <w:uiPriority w:val="0"/>
    <w:rPr>
      <w:rFonts w:hint="default" w:ascii="仿宋_GB2312" w:eastAsia="仿宋_GB2312" w:cs="仿宋_GB2312"/>
      <w:color w:val="000000"/>
      <w:sz w:val="24"/>
      <w:szCs w:val="24"/>
      <w:u w:val="non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1225</Words>
  <Characters>1254</Characters>
  <Lines>0</Lines>
  <Paragraphs>0</Paragraphs>
  <TotalTime>4</TotalTime>
  <ScaleCrop>false</ScaleCrop>
  <LinksUpToDate>false</LinksUpToDate>
  <CharactersWithSpaces>1254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2024-03-25T04:38:00Z</dcterms:created>
  <dc:creator>27605</dc:creator>
  <cp:lastModifiedBy>kylin</cp:lastModifiedBy>
  <dcterms:modified xsi:type="dcterms:W3CDTF">2025-05-06T15:26:13Z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52162F4491514736891D6C0CF3454669_12</vt:lpwstr>
  </property>
  <property fmtid="{D5CDD505-2E9C-101B-9397-08002B2CF9AE}" pid="4" name="KSOTemplateDocerSaveRecord">
    <vt:lpwstr>eyJoZGlkIjoiOGNmOWNmZTU1Yjc5ZjVlNWZiMWI3ZTE4YjczNzMxYjQiLCJ1c2VySWQiOiIzMzY2OTA1NDAifQ==</vt:lpwstr>
  </property>
</Properties>
</file>