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A3" w:rsidRPr="00387C4E" w:rsidRDefault="000250A3" w:rsidP="00F74526">
      <w:pPr>
        <w:jc w:val="center"/>
        <w:rPr>
          <w:rFonts w:ascii="华文中宋" w:eastAsia="华文中宋" w:hAnsi="华文中宋" w:cs="Times New Roman" w:hint="eastAsia"/>
          <w:b/>
          <w:color w:val="000000" w:themeColor="text1"/>
          <w:sz w:val="44"/>
          <w:szCs w:val="44"/>
        </w:rPr>
      </w:pPr>
      <w:r w:rsidRPr="00387C4E">
        <w:rPr>
          <w:rFonts w:ascii="华文中宋" w:eastAsia="华文中宋" w:hAnsi="华文中宋" w:cs="Times New Roman" w:hint="eastAsia"/>
          <w:b/>
          <w:noProof/>
          <w:color w:val="000000" w:themeColor="text1"/>
          <w:sz w:val="44"/>
          <w:szCs w:val="44"/>
        </w:rPr>
        <w:drawing>
          <wp:inline distT="0" distB="0" distL="0" distR="0">
            <wp:extent cx="5153660" cy="1933575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079" t="19614" r="28271" b="53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26" w:rsidRPr="00387C4E" w:rsidRDefault="00F74526" w:rsidP="00F74526">
      <w:pPr>
        <w:jc w:val="center"/>
        <w:rPr>
          <w:rFonts w:ascii="华文中宋" w:eastAsia="华文中宋" w:hAnsi="华文中宋" w:cs="Times New Roman"/>
          <w:b/>
          <w:color w:val="000000" w:themeColor="text1"/>
          <w:sz w:val="36"/>
          <w:szCs w:val="36"/>
        </w:rPr>
      </w:pPr>
      <w:r w:rsidRPr="00387C4E"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关于进一步加强上海港污染防治工作的通知</w:t>
      </w:r>
    </w:p>
    <w:p w:rsidR="00F74526" w:rsidRPr="00387C4E" w:rsidRDefault="00F74526" w:rsidP="00F74526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F74526" w:rsidRPr="00387C4E" w:rsidRDefault="00F74526" w:rsidP="00F74526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87C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各有关单位：</w:t>
      </w:r>
    </w:p>
    <w:p w:rsidR="00F74526" w:rsidRPr="00387C4E" w:rsidRDefault="000F551C" w:rsidP="00F74526">
      <w:pPr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87C4E">
        <w:rPr>
          <w:rFonts w:ascii="仿宋" w:eastAsia="仿宋" w:hAnsi="仿宋" w:hint="eastAsia"/>
          <w:color w:val="000000" w:themeColor="text1"/>
          <w:sz w:val="32"/>
          <w:szCs w:val="32"/>
        </w:rPr>
        <w:t>为进一步巩固上海港船舶和港口污染突出问题整治效果，现就进一步做好上海港污染防治工作通知如下</w:t>
      </w:r>
      <w:r w:rsidR="00F74526" w:rsidRPr="00387C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：</w:t>
      </w:r>
    </w:p>
    <w:p w:rsidR="00F74526" w:rsidRPr="00387C4E" w:rsidRDefault="00F74526" w:rsidP="00F745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87C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一、各有关单位应当严格按照《船舶水污染物排放控制标准》和船舶法定检验技术规则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的要求，配备船舶环保设施，加强日常维护，确保设施正常运行，严禁违法排放各种污染物。</w:t>
      </w:r>
    </w:p>
    <w:p w:rsidR="00F74526" w:rsidRPr="00387C4E" w:rsidRDefault="00F74526" w:rsidP="00F745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87C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二、各有关单位应当严格</w:t>
      </w:r>
      <w:r w:rsidR="00F6150C" w:rsidRPr="00387C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按照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国家和本市船舶污染防治相关规定，继续深入推进现有船舶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防污染设施设备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的改造工作。对未按规定完成</w:t>
      </w:r>
      <w:r w:rsidR="005F760B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防污染设施设备改造的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船舶，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要依法进行处罚</w:t>
      </w:r>
      <w:r w:rsidR="005F760B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，并坚决予以停航停运。对于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上海港籍以外的船舶</w:t>
      </w:r>
      <w:r w:rsidR="005F760B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还要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及时通报船籍港海事管理机构和船检机构。</w:t>
      </w:r>
    </w:p>
    <w:p w:rsidR="00F74526" w:rsidRPr="00387C4E" w:rsidRDefault="00F6150C" w:rsidP="00F745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三、</w:t>
      </w:r>
      <w:r w:rsidR="00F74526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各港口企业应结合实际</w:t>
      </w:r>
      <w:r w:rsidR="00320B9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进一步</w:t>
      </w:r>
      <w:r w:rsidR="00F74526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完善船舶污染物接收服务体系，不直接提供接收服务的码头</w:t>
      </w:r>
      <w:r w:rsidR="00320B9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必须</w:t>
      </w:r>
      <w:r w:rsidR="00F74526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</w:t>
      </w:r>
      <w:r w:rsidR="00F74526"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2020年12月25日前与</w:t>
      </w:r>
      <w:r w:rsidR="00F74526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有相应接收</w:t>
      </w:r>
      <w:r w:rsidR="000E6361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资质和</w:t>
      </w:r>
      <w:r w:rsidR="00F74526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能力</w:t>
      </w:r>
      <w:r w:rsidR="00F74526"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的接收单位签约</w:t>
      </w:r>
      <w:r w:rsidR="00F74526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，为靠港船</w:t>
      </w:r>
      <w:r w:rsidR="00F74526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舶提供第三方流动接收服务。</w:t>
      </w:r>
    </w:p>
    <w:p w:rsidR="00F74526" w:rsidRPr="00387C4E" w:rsidRDefault="00F74526" w:rsidP="00F745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四、建立健全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船舶污染物船岸交接和联合检查制度，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并分布推进实施，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对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发现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无合理理由拒不送交、涉嫌偷排污染物的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船舶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，港口企业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应当根据海事部门通报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暂停装卸作业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，对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多次发生违法行为或者违法行为情节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恶劣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船舶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相关管理单位要加大惩处力度，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限制其进出港口或相关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作业活动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；对</w:t>
      </w:r>
      <w:r w:rsidR="00320B9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不能提供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船舶污染物接收</w:t>
      </w:r>
      <w:r w:rsidR="000F551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服务</w:t>
      </w:r>
      <w:r w:rsidR="00320B9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（含委托第三方的流动接收服务）的</w:t>
      </w:r>
      <w:r w:rsidR="00F6150C"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港口企业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，船方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应当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将有关情况</w:t>
      </w:r>
      <w:r w:rsidR="00320B9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及时向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交通运输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和海事管理部门</w:t>
      </w:r>
      <w:r w:rsidR="00320B9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投诉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，由相关管理单位依法予以处理</w:t>
      </w:r>
      <w:r w:rsidRPr="00387C4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。</w:t>
      </w:r>
    </w:p>
    <w:p w:rsidR="00F74526" w:rsidRPr="00387C4E" w:rsidRDefault="00F74526" w:rsidP="00F74526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五、积极推进</w:t>
      </w:r>
      <w:r w:rsidR="007314BA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上海港</w:t>
      </w:r>
      <w:r w:rsidR="000F551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现有船舶污染物接收信息系统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与</w:t>
      </w:r>
      <w:r w:rsidR="000E6361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长江经济带船舶水污染物联合监管与服务信息系统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的数据对接工作</w:t>
      </w:r>
      <w:r w:rsidR="000E6361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7314BA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通过接口开放信息互通等方式，</w:t>
      </w:r>
      <w:r w:rsidR="00320B9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尽快</w:t>
      </w:r>
      <w:r w:rsidR="007314BA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实现</w:t>
      </w:r>
      <w:r w:rsidR="00C33BF3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全面对接并</w:t>
      </w:r>
      <w:r w:rsidR="000F551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有效运行</w:t>
      </w:r>
      <w:r w:rsidR="00960E4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。进一步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完善</w:t>
      </w:r>
      <w:r w:rsidR="00320B9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上海港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船舶污染物</w:t>
      </w:r>
      <w:r w:rsidR="006C5046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接收信息系统</w:t>
      </w:r>
      <w:r w:rsidR="00960E4E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F6150C"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推动</w:t>
      </w:r>
      <w:r w:rsidRPr="00387C4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完善全港船舶水污染物接收、转运和处置电子联单制，推进船舶水污染在接收、转运和处置全环节的闭环管理。</w:t>
      </w:r>
    </w:p>
    <w:p w:rsidR="00F74526" w:rsidRPr="00387C4E" w:rsidRDefault="00F74526" w:rsidP="00F74526">
      <w:pPr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F74526" w:rsidRPr="00387C4E" w:rsidRDefault="00F74526" w:rsidP="006C5046">
      <w:pPr>
        <w:ind w:firstLineChars="350" w:firstLine="112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87C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上海市交通委员会    </w:t>
      </w:r>
      <w:r w:rsidR="006C5046" w:rsidRPr="00387C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中华人民共和国</w:t>
      </w:r>
      <w:r w:rsidRPr="00387C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上海海事局</w:t>
      </w:r>
    </w:p>
    <w:p w:rsidR="009626D5" w:rsidRPr="00387C4E" w:rsidRDefault="00F74526" w:rsidP="006C5046">
      <w:pPr>
        <w:ind w:firstLineChars="850" w:firstLine="2720"/>
        <w:rPr>
          <w:color w:val="000000" w:themeColor="text1"/>
        </w:rPr>
      </w:pPr>
      <w:r w:rsidRPr="00387C4E">
        <w:rPr>
          <w:rFonts w:ascii="仿宋" w:eastAsia="仿宋" w:hAnsi="仿宋" w:cs="Times New Roman"/>
          <w:color w:val="000000" w:themeColor="text1"/>
          <w:sz w:val="32"/>
          <w:szCs w:val="32"/>
        </w:rPr>
        <w:t>2020年</w:t>
      </w:r>
      <w:r w:rsidR="006C5046" w:rsidRPr="00387C4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十二月十日</w:t>
      </w:r>
    </w:p>
    <w:sectPr w:rsidR="009626D5" w:rsidRPr="00387C4E" w:rsidSect="004222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C2" w:rsidRDefault="001F69C2" w:rsidP="00F74526">
      <w:r>
        <w:separator/>
      </w:r>
    </w:p>
  </w:endnote>
  <w:endnote w:type="continuationSeparator" w:id="0">
    <w:p w:rsidR="001F69C2" w:rsidRDefault="001F69C2" w:rsidP="00F7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08" w:rsidRDefault="0073067E">
    <w:pPr>
      <w:pStyle w:val="a4"/>
      <w:jc w:val="center"/>
    </w:pPr>
    <w:r>
      <w:fldChar w:fldCharType="begin"/>
    </w:r>
    <w:r w:rsidR="001A34BA">
      <w:instrText xml:space="preserve"> PAGE   \* MERGEFORMAT </w:instrText>
    </w:r>
    <w:r>
      <w:fldChar w:fldCharType="separate"/>
    </w:r>
    <w:r w:rsidR="00387C4E" w:rsidRPr="00387C4E">
      <w:rPr>
        <w:noProof/>
        <w:lang w:val="zh-CN"/>
      </w:rPr>
      <w:t>1</w:t>
    </w:r>
    <w:r>
      <w:fldChar w:fldCharType="end"/>
    </w:r>
  </w:p>
  <w:p w:rsidR="00695908" w:rsidRDefault="001F69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C2" w:rsidRDefault="001F69C2" w:rsidP="00F74526">
      <w:r>
        <w:separator/>
      </w:r>
    </w:p>
  </w:footnote>
  <w:footnote w:type="continuationSeparator" w:id="0">
    <w:p w:rsidR="001F69C2" w:rsidRDefault="001F69C2" w:rsidP="00F74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526"/>
    <w:rsid w:val="000250A3"/>
    <w:rsid w:val="00091AD2"/>
    <w:rsid w:val="000E6361"/>
    <w:rsid w:val="000F551C"/>
    <w:rsid w:val="001A34BA"/>
    <w:rsid w:val="001F69C2"/>
    <w:rsid w:val="002F2E15"/>
    <w:rsid w:val="00307A36"/>
    <w:rsid w:val="00320B9E"/>
    <w:rsid w:val="00387C4E"/>
    <w:rsid w:val="0045378C"/>
    <w:rsid w:val="00570145"/>
    <w:rsid w:val="005F760B"/>
    <w:rsid w:val="006C5046"/>
    <w:rsid w:val="00703823"/>
    <w:rsid w:val="0073067E"/>
    <w:rsid w:val="007314BA"/>
    <w:rsid w:val="00774C21"/>
    <w:rsid w:val="00826645"/>
    <w:rsid w:val="00852FBA"/>
    <w:rsid w:val="008B1830"/>
    <w:rsid w:val="008B3EC3"/>
    <w:rsid w:val="00960E4E"/>
    <w:rsid w:val="009A3A82"/>
    <w:rsid w:val="00AB3966"/>
    <w:rsid w:val="00AE078A"/>
    <w:rsid w:val="00C33BF3"/>
    <w:rsid w:val="00C665F0"/>
    <w:rsid w:val="00D83227"/>
    <w:rsid w:val="00DA7B70"/>
    <w:rsid w:val="00F6150C"/>
    <w:rsid w:val="00F74526"/>
    <w:rsid w:val="00FA48DF"/>
    <w:rsid w:val="00FB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5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50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5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2020-12-07T05:02:00Z</dcterms:created>
  <dcterms:modified xsi:type="dcterms:W3CDTF">2020-12-14T02:33:00Z</dcterms:modified>
</cp:coreProperties>
</file>